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6FBE8E" wp14:editId="20EE44E0">
            <wp:simplePos x="0" y="0"/>
            <wp:positionH relativeFrom="column">
              <wp:posOffset>-343110</wp:posOffset>
            </wp:positionH>
            <wp:positionV relativeFrom="paragraph">
              <wp:posOffset>-295910</wp:posOffset>
            </wp:positionV>
            <wp:extent cx="6507332" cy="9535210"/>
            <wp:effectExtent l="0" t="0" r="8255" b="0"/>
            <wp:wrapNone/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32" cy="95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24" w:rsidRDefault="00291E24" w:rsidP="00B922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7B" w:rsidRDefault="003B467B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-анализ крови на ВИЧ, маркеры гепатитов В и С </w:t>
      </w:r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перечисленного дополнительно в соответствии с профилем медицинской помощи, согласно стандартам оказания медицинской помощи: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нефрология: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биохимический анализ крови: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мочевина, общий белок, глюкоза, билирубин,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индекс, фибриноген; заключение ультразвукового исследования почек и мочевого пузыря; посев мочи на флору и чувствительность к антибиотикам;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кровь на простатический специфический антиген (мужчины старше 45 лет)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пульмонология: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биохимический анализ крови: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мочевина, общий белок, глюкоза, билирубин,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индекс, фибриноген;  заключение рентгенологического исследования органов грудной клетки (не более 10 дней), анализ мокроты на кислотоустойчивые микобактерии туберкулеза - 3-х кратно, заключение спирографии</w:t>
      </w:r>
      <w:proofErr w:type="gramEnd"/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кардиология: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биохимический анализ крови: глюкоза,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индекс, холестерин-липидный спектр; заключение ультразвукового исследования сердца (эхокардиография); результаты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холтеровского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мониторирования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 и ЭК</w:t>
      </w:r>
      <w:proofErr w:type="gram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Г(</w:t>
      </w:r>
      <w:proofErr w:type="gram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нарушениях ритма сердца и гипертонической болезни); заключение дуплексного сканирования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брахиоцефальных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артерий (давность не более 11 месяцев)</w:t>
      </w:r>
      <w:r w:rsidRPr="00B922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гастроэнтерология: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биохимический анализ крови: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ACT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аспартатаминотрансфераза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AJIT</w:t>
      </w:r>
      <w:proofErr w:type="gram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аланинаминотрансфераза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щелочная фосфатаза, билирубин - фракции, гамма-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глутамилтранспептидаза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глюкоза, амилаза; заключение ультразвукового исследования органов брюшной полости; заключение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фиброгастродуоденоскопии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заключение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фиброколоноскопии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 необходимости) 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сердечно-сосудистая</w:t>
      </w:r>
      <w:proofErr w:type="gramEnd"/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хирургия: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биохимический анализ крови: общий белок,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фибриноген, глюкоза;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коагулограмма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 ультразвукового исследования сосудов нижних конечностей; заключение ультразвукового исследования сердца (эхокардиография), заключение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фиброгастро-дуоденоскопии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проктология: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биохимический анализ крови: глюкоза,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фибриноген, общий белок, билирубин, амилаза,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заключение ультразвукового исследования органов брюшной полости; заключение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фиброколоноскопии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 необходимости) </w:t>
      </w:r>
      <w:proofErr w:type="gramEnd"/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хирургия: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биохимический анализ крови: глюкоза,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фибриноген, общий белок, билирубин, амилаза,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заключение ультразвукового исследования органов брюшной полости; заключение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фиброгастродуоденоскопии</w:t>
      </w:r>
      <w:proofErr w:type="spellEnd"/>
      <w:proofErr w:type="gramEnd"/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урология</w:t>
      </w:r>
      <w:r w:rsidRPr="00B9223F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shd w:val="clear" w:color="auto" w:fill="FFFFFF"/>
          <w:lang w:eastAsia="ru-RU"/>
        </w:rPr>
        <w:t>: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биохимический анализ крови: глюкоза,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фибриноген, общий белок, билирубин,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заключение 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lastRenderedPageBreak/>
        <w:t>ультразвукового исследования почек и мочевыводящих путей; кровь на простатический специфический антиген (при гиперплазии предстательной железы),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урофлоуметрии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 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гиперплазии</w:t>
      </w:r>
      <w:r w:rsidRP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предстательной железы);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посев мочи на флору и чувствительность к антибиотикам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спермограмма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 показаниям)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;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нейрохирургия: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биохимический анализ крови: глюкоза, протромбин, фибриноген, общий белок, билирубин, амилаза,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компьютерно-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томографического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магнитно-резонансного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томографического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головного мозга или позвоночника; результаты исследования глазного дна</w:t>
      </w:r>
      <w:proofErr w:type="gramEnd"/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9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оториноларингология: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биохимический анализ крови: глюкоза, протромбин, фибриноген, общий белок, билирубин, амилаза, мочевина, </w:t>
      </w:r>
      <w:proofErr w:type="spellStart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заключение рентгенологического исследования придаточных пазух носа, аудиограмма</w:t>
      </w:r>
      <w:proofErr w:type="gramEnd"/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челюстно-лицевая хирургия:</w:t>
      </w:r>
      <w:r w:rsidRPr="00B9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биохимический анализ крови: </w:t>
      </w:r>
      <w:proofErr w:type="gramStart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С-реактивный белок (СРБ), ревматоидный фактор, мочевая кислота, мочевина,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фибриноген, протромбин, щелочная фосфатаза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заключение рентгенологического исследования челюсти (при необходимости)</w:t>
      </w:r>
      <w:proofErr w:type="gramEnd"/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гинекология:</w:t>
      </w:r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биохимический анализ крови: С-реактивный белок (СРБ), ревматоидный фактор, мочевая кислота, мочевина,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креатинин</w:t>
      </w:r>
      <w:proofErr w:type="spellEnd"/>
      <w:r w:rsidRPr="00B922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фибриноген, протромбин, щелочная фосфатаза; 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биохимический скрининг уровней сывороточных маркеров: связанных с беременностью плазменный протеин </w:t>
      </w:r>
      <w:proofErr w:type="gram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РАРР-А) хорионический  гонадотропин (11-14 недель); результаты микроскопического исследования влагалищного отделяемого на микроорганизмы; результаты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ультразвукового исследования молочных желез;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ультразвукового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скринингового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исследования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малого таза (при сроке беременности 11-14 недель); результаты</w:t>
      </w:r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ультразвукового </w:t>
      </w:r>
      <w:proofErr w:type="spellStart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скринингового</w:t>
      </w:r>
      <w:proofErr w:type="spellEnd"/>
      <w:r w:rsidRPr="00B9223F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исследования</w:t>
      </w:r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 (при сроке беременности 18-21 неделя)</w:t>
      </w:r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Экстренная госпитализация осуществляется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приемное отделение в соответствии с медицинскими показаниями, определяемыми дежурными врачами соответствующего профиля.</w:t>
      </w:r>
    </w:p>
    <w:p w:rsidR="00B9223F" w:rsidRPr="00B9223F" w:rsidRDefault="00B9223F" w:rsidP="00291E24">
      <w:pPr>
        <w:keepNext/>
        <w:keepLines/>
        <w:spacing w:after="0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B9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пациентов из медицинских организаций, а также дата и время перевода</w:t>
      </w:r>
      <w:bookmarkEnd w:id="1"/>
    </w:p>
    <w:p w:rsidR="00B9223F" w:rsidRPr="00B9223F" w:rsidRDefault="00B9223F" w:rsidP="00291E24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администрацией МО, после определения показаний к переводу с учетом транспортабельности пациента, по согласованию с администрацией ГБУЗ РКБ МЗ РСО - Алания (главный врач, профильные заместители главного врача и заведующие профильными отделениями).</w:t>
      </w:r>
      <w:r w:rsidR="00291E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2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Категорически запрещается перевод больных в состоянии шока, без транспортной мобилизации, с продолжающимся кровотечением, в алкогольном опьянении или в терминальном состоянии.</w:t>
      </w:r>
    </w:p>
    <w:p w:rsidR="00B9223F" w:rsidRPr="00B9223F" w:rsidRDefault="00B9223F" w:rsidP="00291E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CFB" w:rsidRDefault="00A27CFB" w:rsidP="00291E24">
      <w:pPr>
        <w:ind w:firstLine="567"/>
      </w:pPr>
    </w:p>
    <w:sectPr w:rsidR="00A27CFB" w:rsidSect="00291E24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7AF"/>
    <w:multiLevelType w:val="multilevel"/>
    <w:tmpl w:val="6EC01B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3"/>
    <w:rsid w:val="00291E24"/>
    <w:rsid w:val="003B467B"/>
    <w:rsid w:val="00A27CFB"/>
    <w:rsid w:val="00B9223F"/>
    <w:rsid w:val="00BD7743"/>
    <w:rsid w:val="00E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2019-08-15T13:50:00Z</dcterms:created>
  <dcterms:modified xsi:type="dcterms:W3CDTF">2019-09-04T08:21:00Z</dcterms:modified>
</cp:coreProperties>
</file>